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sz w:val="22"/>
          <w:szCs w:val="22"/>
        </w:rPr>
      </w:pPr>
      <w:r>
        <w:rPr>
          <w:sz w:val="22"/>
          <w:szCs w:val="22"/>
        </w:rPr>
      </w:r>
    </w:p>
    <w:p>
      <w:pPr>
        <w:pStyle w:val="normal1"/>
        <w:jc w:val="center"/>
        <w:rPr>
          <w:b/>
          <w:sz w:val="28"/>
          <w:szCs w:val="28"/>
        </w:rPr>
      </w:pPr>
      <w:r>
        <w:rPr>
          <w:b/>
          <w:sz w:val="28"/>
          <w:szCs w:val="28"/>
        </w:rPr>
        <w:t>CONTRAT ŒUFS – Toutes les semaines - ENGAGEMENT ANNÉE 2025</w:t>
      </w:r>
    </w:p>
    <w:p>
      <w:pPr>
        <w:pStyle w:val="normal1"/>
        <w:jc w:val="center"/>
        <w:rPr>
          <w:b/>
          <w:sz w:val="28"/>
          <w:szCs w:val="28"/>
        </w:rPr>
      </w:pPr>
      <w:r>
        <w:rPr>
          <w:b/>
          <w:sz w:val="28"/>
          <w:szCs w:val="28"/>
        </w:rPr>
      </w:r>
    </w:p>
    <w:tbl>
      <w:tblPr>
        <w:tblStyle w:val="Table1"/>
        <w:tblW w:w="10490" w:type="dxa"/>
        <w:jc w:val="left"/>
        <w:tblInd w:w="-7" w:type="dxa"/>
        <w:tblLayout w:type="fixed"/>
        <w:tblCellMar>
          <w:top w:w="0" w:type="dxa"/>
          <w:left w:w="108" w:type="dxa"/>
          <w:bottom w:w="0" w:type="dxa"/>
          <w:right w:w="108" w:type="dxa"/>
        </w:tblCellMar>
        <w:tblLook w:val="0400"/>
      </w:tblPr>
      <w:tblGrid>
        <w:gridCol w:w="5245"/>
        <w:gridCol w:w="5244"/>
      </w:tblGrid>
      <w:tr>
        <w:trPr/>
        <w:tc>
          <w:tcPr>
            <w:tcW w:w="5245" w:type="dxa"/>
            <w:tcBorders>
              <w:top w:val="single" w:sz="4" w:space="0" w:color="000000"/>
              <w:left w:val="single" w:sz="4" w:space="0" w:color="000000"/>
              <w:bottom w:val="single" w:sz="4" w:space="0" w:color="000000"/>
              <w:right w:val="single" w:sz="4" w:space="0" w:color="000000"/>
            </w:tcBorders>
          </w:tcPr>
          <w:p>
            <w:pPr>
              <w:pStyle w:val="normal1"/>
              <w:rPr>
                <w:sz w:val="22"/>
                <w:szCs w:val="22"/>
              </w:rPr>
            </w:pPr>
            <w:r>
              <w:rPr>
                <w:b/>
                <w:sz w:val="22"/>
                <w:szCs w:val="22"/>
              </w:rPr>
              <w:t>Producteur</w:t>
            </w:r>
            <w:r>
              <w:rPr>
                <w:sz w:val="22"/>
                <w:szCs w:val="22"/>
              </w:rPr>
              <w:t> :</w:t>
            </w:r>
            <w:r>
              <w:rPr>
                <w:color w:val="000000"/>
                <w:sz w:val="22"/>
                <w:szCs w:val="22"/>
              </w:rPr>
              <w:t xml:space="preserve"> </w:t>
            </w:r>
            <w:r>
              <w:rPr>
                <w:sz w:val="22"/>
                <w:szCs w:val="22"/>
              </w:rPr>
              <w:t>Stéphane Disdet</w:t>
            </w:r>
          </w:p>
          <w:p>
            <w:pPr>
              <w:pStyle w:val="normal1"/>
              <w:rPr>
                <w:sz w:val="22"/>
                <w:szCs w:val="22"/>
              </w:rPr>
            </w:pPr>
            <w:r>
              <w:rPr>
                <w:sz w:val="22"/>
                <w:szCs w:val="22"/>
              </w:rPr>
              <w:t>7 Domaine de Saint Leu</w:t>
            </w:r>
          </w:p>
          <w:p>
            <w:pPr>
              <w:pStyle w:val="normal1"/>
              <w:rPr>
                <w:sz w:val="22"/>
                <w:szCs w:val="22"/>
              </w:rPr>
            </w:pPr>
            <w:r>
              <w:rPr>
                <w:sz w:val="22"/>
                <w:szCs w:val="22"/>
              </w:rPr>
              <w:t>94520 Périgny sur Yerres</w:t>
            </w:r>
          </w:p>
          <w:p>
            <w:pPr>
              <w:pStyle w:val="normal1"/>
              <w:ind w:hanging="0" w:left="34"/>
              <w:rPr>
                <w:b/>
                <w:sz w:val="22"/>
                <w:szCs w:val="22"/>
              </w:rPr>
            </w:pPr>
            <w:r>
              <w:rPr>
                <w:sz w:val="22"/>
                <w:szCs w:val="22"/>
              </w:rPr>
              <w:t>sdisdet@gmail.com</w:t>
            </w:r>
          </w:p>
        </w:tc>
        <w:tc>
          <w:tcPr>
            <w:tcW w:w="5244" w:type="dxa"/>
            <w:tcBorders>
              <w:top w:val="single" w:sz="4" w:space="0" w:color="000000"/>
              <w:left w:val="single" w:sz="4" w:space="0" w:color="000000"/>
              <w:bottom w:val="single" w:sz="4" w:space="0" w:color="000000"/>
              <w:right w:val="single" w:sz="4" w:space="0" w:color="000000"/>
            </w:tcBorders>
          </w:tcPr>
          <w:p>
            <w:pPr>
              <w:pStyle w:val="normal1"/>
              <w:rPr>
                <w:b/>
                <w:i/>
                <w:i/>
                <w:color w:val="FF0000"/>
                <w:sz w:val="22"/>
                <w:szCs w:val="22"/>
              </w:rPr>
            </w:pPr>
            <w:bookmarkStart w:id="0" w:name="_gjdgxs"/>
            <w:bookmarkEnd w:id="0"/>
            <w:r>
              <w:rPr>
                <w:b/>
                <w:sz w:val="22"/>
                <w:szCs w:val="22"/>
              </w:rPr>
              <w:t>Adhérent(e)</w:t>
            </w:r>
            <w:r>
              <w:rPr>
                <w:sz w:val="22"/>
                <w:szCs w:val="22"/>
              </w:rPr>
              <w:t> </w:t>
            </w:r>
            <w:r>
              <w:rPr>
                <w:b/>
                <w:sz w:val="22"/>
                <w:szCs w:val="22"/>
              </w:rPr>
              <w:t>de l'AMAP MANDRES</w:t>
            </w:r>
          </w:p>
          <w:p>
            <w:pPr>
              <w:pStyle w:val="normal1"/>
              <w:rPr>
                <w:sz w:val="22"/>
                <w:szCs w:val="22"/>
              </w:rPr>
            </w:pPr>
            <w:r>
              <w:rPr>
                <w:sz w:val="22"/>
                <w:szCs w:val="22"/>
              </w:rPr>
              <w:t>Nom &amp; Prénom :</w:t>
            </w:r>
          </w:p>
          <w:p>
            <w:pPr>
              <w:pStyle w:val="normal1"/>
              <w:rPr>
                <w:sz w:val="22"/>
                <w:szCs w:val="22"/>
              </w:rPr>
            </w:pPr>
            <w:r>
              <w:rPr>
                <w:sz w:val="22"/>
                <w:szCs w:val="22"/>
              </w:rPr>
              <w:t>tel :</w:t>
            </w:r>
          </w:p>
          <w:p>
            <w:pPr>
              <w:pStyle w:val="normal1"/>
              <w:rPr>
                <w:sz w:val="22"/>
                <w:szCs w:val="22"/>
              </w:rPr>
            </w:pPr>
            <w:r>
              <w:rPr>
                <w:sz w:val="22"/>
                <w:szCs w:val="22"/>
              </w:rPr>
              <w:t>@ :</w:t>
            </w:r>
          </w:p>
        </w:tc>
      </w:tr>
    </w:tbl>
    <w:p>
      <w:pPr>
        <w:pStyle w:val="normal1"/>
        <w:jc w:val="both"/>
        <w:rPr>
          <w:rFonts w:ascii="Arial" w:hAnsi="Arial" w:eastAsia="Arial" w:cs="Arial"/>
          <w:b/>
          <w:sz w:val="18"/>
          <w:szCs w:val="18"/>
        </w:rPr>
      </w:pPr>
      <w:r>
        <w:rPr>
          <w:rFonts w:eastAsia="Arial" w:cs="Arial" w:ascii="Arial" w:hAnsi="Arial"/>
          <w:b/>
          <w:sz w:val="18"/>
          <w:szCs w:val="18"/>
        </w:rPr>
      </w:r>
    </w:p>
    <w:p>
      <w:pPr>
        <w:pStyle w:val="normal1"/>
        <w:jc w:val="both"/>
        <w:rPr>
          <w:color w:val="000000"/>
          <w:sz w:val="22"/>
          <w:szCs w:val="22"/>
        </w:rPr>
      </w:pPr>
      <w:r>
        <w:rPr>
          <w:color w:val="000000"/>
          <w:sz w:val="22"/>
          <w:szCs w:val="22"/>
        </w:rPr>
        <w:t xml:space="preserve">Les signataires du présent contrat s'engagent pour </w:t>
      </w:r>
      <w:r>
        <w:rPr>
          <w:sz w:val="22"/>
          <w:szCs w:val="22"/>
        </w:rPr>
        <w:t>40</w:t>
      </w:r>
      <w:r>
        <w:rPr>
          <w:color w:val="000000"/>
          <w:sz w:val="22"/>
          <w:szCs w:val="22"/>
        </w:rPr>
        <w:t xml:space="preserve"> parts en </w:t>
      </w:r>
      <w:r>
        <w:rPr>
          <w:sz w:val="22"/>
          <w:szCs w:val="22"/>
        </w:rPr>
        <w:t>38</w:t>
      </w:r>
      <w:r>
        <w:rPr>
          <w:color w:val="000000"/>
          <w:sz w:val="22"/>
          <w:szCs w:val="22"/>
        </w:rPr>
        <w:t xml:space="preserve"> distributions entre la semaine 2</w:t>
      </w:r>
      <w:r>
        <w:rPr>
          <w:sz w:val="22"/>
          <w:szCs w:val="22"/>
        </w:rPr>
        <w:t xml:space="preserve"> (7 et 14 janvier 2025: double distribution) </w:t>
      </w:r>
      <w:r>
        <w:rPr>
          <w:color w:val="000000"/>
          <w:sz w:val="22"/>
          <w:szCs w:val="22"/>
        </w:rPr>
        <w:t>et la S</w:t>
      </w:r>
      <w:r>
        <w:rPr>
          <w:sz w:val="22"/>
          <w:szCs w:val="22"/>
        </w:rPr>
        <w:t>39</w:t>
      </w:r>
      <w:r>
        <w:rPr>
          <w:color w:val="000000"/>
          <w:sz w:val="22"/>
          <w:szCs w:val="22"/>
        </w:rPr>
        <w:t xml:space="preserve"> (</w:t>
      </w:r>
      <w:r>
        <w:rPr>
          <w:sz w:val="22"/>
          <w:szCs w:val="22"/>
        </w:rPr>
        <w:t>23</w:t>
      </w:r>
      <w:r>
        <w:rPr>
          <w:color w:val="000000"/>
          <w:sz w:val="22"/>
          <w:szCs w:val="22"/>
        </w:rPr>
        <w:t xml:space="preserve"> septembre 2025) et à respecter les principes et engagements définis dans la charte des AMAP (texte de la charte disponible auprès de l'association ou sur le site du réseau AMAP-IdF : </w:t>
      </w:r>
      <w:hyperlink r:id="rId2">
        <w:r>
          <w:rPr>
            <w:rStyle w:val="ListLabel28"/>
            <w:color w:val="0000FF"/>
            <w:sz w:val="22"/>
            <w:szCs w:val="22"/>
            <w:u w:val="single"/>
          </w:rPr>
          <w:t>http://www.amap-idf.org</w:t>
        </w:r>
      </w:hyperlink>
      <w:r>
        <w:rPr>
          <w:color w:val="000000"/>
          <w:sz w:val="22"/>
          <w:szCs w:val="22"/>
        </w:rPr>
        <w:t xml:space="preserve">  ). A savoir :</w:t>
      </w:r>
    </w:p>
    <w:p>
      <w:pPr>
        <w:pStyle w:val="normal1"/>
        <w:rPr>
          <w:b/>
          <w:sz w:val="18"/>
          <w:szCs w:val="18"/>
        </w:rPr>
      </w:pPr>
      <w:r>
        <w:rPr>
          <w:b/>
          <w:sz w:val="18"/>
          <w:szCs w:val="18"/>
        </w:rPr>
      </w:r>
    </w:p>
    <w:p>
      <w:pPr>
        <w:pStyle w:val="normal1"/>
        <w:rPr>
          <w:b/>
          <w:sz w:val="22"/>
          <w:szCs w:val="22"/>
          <w:u w:val="single"/>
        </w:rPr>
      </w:pPr>
      <w:r>
        <w:rPr>
          <w:b/>
          <w:sz w:val="22"/>
          <w:szCs w:val="22"/>
          <w:u w:val="single"/>
        </w:rPr>
        <w:t>Engagements de l'adhérent :</w:t>
      </w:r>
    </w:p>
    <w:p>
      <w:pPr>
        <w:pStyle w:val="normal1"/>
        <w:numPr>
          <w:ilvl w:val="0"/>
          <w:numId w:val="1"/>
        </w:numPr>
        <w:tabs>
          <w:tab w:val="clear" w:pos="720"/>
          <w:tab w:val="left" w:pos="2160" w:leader="none"/>
        </w:tabs>
        <w:ind w:hanging="360" w:left="360"/>
        <w:jc w:val="both"/>
        <w:rPr>
          <w:sz w:val="22"/>
          <w:szCs w:val="22"/>
        </w:rPr>
      </w:pPr>
      <w:r>
        <w:rPr>
          <w:sz w:val="22"/>
          <w:szCs w:val="22"/>
        </w:rPr>
        <w:t>Préfinancer la production (paiement à la souscription, cf. modalités de règlement)</w:t>
      </w:r>
    </w:p>
    <w:p>
      <w:pPr>
        <w:pStyle w:val="normal1"/>
        <w:numPr>
          <w:ilvl w:val="0"/>
          <w:numId w:val="1"/>
        </w:numPr>
        <w:tabs>
          <w:tab w:val="clear" w:pos="720"/>
          <w:tab w:val="left" w:pos="2160" w:leader="none"/>
        </w:tabs>
        <w:ind w:hanging="360" w:left="360"/>
        <w:jc w:val="both"/>
        <w:rPr>
          <w:sz w:val="22"/>
          <w:szCs w:val="22"/>
        </w:rPr>
      </w:pPr>
      <w:r>
        <w:rPr>
          <w:sz w:val="22"/>
          <w:szCs w:val="22"/>
        </w:rPr>
        <w:t xml:space="preserve">Venir chercher sa part de la production d’œufs la semaine choisie, sur le lieu de distribution. </w:t>
      </w:r>
    </w:p>
    <w:p>
      <w:pPr>
        <w:pStyle w:val="normal1"/>
        <w:numPr>
          <w:ilvl w:val="0"/>
          <w:numId w:val="1"/>
        </w:numPr>
        <w:tabs>
          <w:tab w:val="clear" w:pos="720"/>
          <w:tab w:val="left" w:pos="2160" w:leader="none"/>
        </w:tabs>
        <w:ind w:hanging="360" w:left="360"/>
        <w:jc w:val="both"/>
        <w:rPr>
          <w:sz w:val="22"/>
          <w:szCs w:val="22"/>
        </w:rPr>
      </w:pPr>
      <w:r>
        <w:rPr>
          <w:sz w:val="22"/>
          <w:szCs w:val="22"/>
        </w:rPr>
        <w:t>Gérer ses retards et ses absences (vacances) le cas échéant (contacter les intermittents ou l’équipe de distribution et non le producteur).</w:t>
      </w:r>
    </w:p>
    <w:p>
      <w:pPr>
        <w:pStyle w:val="normal1"/>
        <w:numPr>
          <w:ilvl w:val="0"/>
          <w:numId w:val="1"/>
        </w:numPr>
        <w:tabs>
          <w:tab w:val="clear" w:pos="720"/>
          <w:tab w:val="left" w:pos="2160" w:leader="none"/>
        </w:tabs>
        <w:ind w:hanging="360" w:left="360"/>
        <w:jc w:val="both"/>
        <w:rPr>
          <w:sz w:val="22"/>
          <w:szCs w:val="22"/>
        </w:rPr>
      </w:pPr>
      <w:r>
        <w:rPr>
          <w:sz w:val="22"/>
          <w:szCs w:val="22"/>
        </w:rPr>
        <w:t>Apporter une/plusieurs boîtes d’œufs vides à remplir suivant son contrat. Les œufs étant livrés par plateau de 30.</w:t>
      </w:r>
    </w:p>
    <w:p>
      <w:pPr>
        <w:pStyle w:val="normal1"/>
        <w:tabs>
          <w:tab w:val="clear" w:pos="720"/>
          <w:tab w:val="left" w:pos="2160" w:leader="none"/>
        </w:tabs>
        <w:jc w:val="both"/>
        <w:rPr>
          <w:color w:val="000000"/>
          <w:sz w:val="18"/>
          <w:szCs w:val="18"/>
        </w:rPr>
      </w:pPr>
      <w:r>
        <w:rPr>
          <w:color w:val="000000"/>
          <w:sz w:val="18"/>
          <w:szCs w:val="18"/>
        </w:rPr>
      </w:r>
    </w:p>
    <w:p>
      <w:pPr>
        <w:pStyle w:val="normal1"/>
        <w:jc w:val="both"/>
        <w:rPr>
          <w:b/>
          <w:sz w:val="22"/>
          <w:szCs w:val="22"/>
          <w:u w:val="single"/>
        </w:rPr>
      </w:pPr>
      <w:r>
        <w:rPr>
          <w:b/>
          <w:sz w:val="22"/>
          <w:szCs w:val="22"/>
          <w:u w:val="single"/>
        </w:rPr>
        <w:t>Engagements du producteur :</w:t>
      </w:r>
    </w:p>
    <w:p>
      <w:pPr>
        <w:pStyle w:val="normal1"/>
        <w:numPr>
          <w:ilvl w:val="0"/>
          <w:numId w:val="1"/>
        </w:numPr>
        <w:tabs>
          <w:tab w:val="clear" w:pos="720"/>
          <w:tab w:val="left" w:pos="2160" w:leader="none"/>
        </w:tabs>
        <w:ind w:hanging="360" w:left="360"/>
        <w:jc w:val="both"/>
        <w:rPr>
          <w:sz w:val="22"/>
          <w:szCs w:val="22"/>
        </w:rPr>
      </w:pPr>
      <w:r>
        <w:rPr>
          <w:sz w:val="22"/>
          <w:szCs w:val="22"/>
        </w:rPr>
        <w:t>Livrer chaque semaine des œufs bio de qualité frais, issus de son élevage (dans la mesure du possible, les œufs seront extra-frais, c'est-à-dire à moins de 9 jours après la ponte). La date de ponte sera communiquée à la livraison.</w:t>
      </w:r>
    </w:p>
    <w:p>
      <w:pPr>
        <w:pStyle w:val="normal1"/>
        <w:numPr>
          <w:ilvl w:val="0"/>
          <w:numId w:val="1"/>
        </w:numPr>
        <w:tabs>
          <w:tab w:val="clear" w:pos="720"/>
          <w:tab w:val="left" w:pos="2160" w:leader="none"/>
        </w:tabs>
        <w:ind w:hanging="360" w:left="360"/>
        <w:jc w:val="both"/>
        <w:rPr>
          <w:sz w:val="22"/>
          <w:szCs w:val="22"/>
        </w:rPr>
      </w:pPr>
      <w:r>
        <w:rPr>
          <w:b/>
          <w:sz w:val="22"/>
          <w:szCs w:val="22"/>
        </w:rPr>
        <w:t>A produire selon les méthodes et conformément aux principes de l’agriculture biologique</w:t>
      </w:r>
      <w:r>
        <w:rPr>
          <w:sz w:val="22"/>
          <w:szCs w:val="22"/>
        </w:rPr>
        <w:t>.</w:t>
      </w:r>
    </w:p>
    <w:p>
      <w:pPr>
        <w:pStyle w:val="normal1"/>
        <w:numPr>
          <w:ilvl w:val="0"/>
          <w:numId w:val="1"/>
        </w:numPr>
        <w:tabs>
          <w:tab w:val="clear" w:pos="720"/>
          <w:tab w:val="left" w:pos="2160" w:leader="none"/>
        </w:tabs>
        <w:ind w:hanging="360" w:left="360"/>
        <w:jc w:val="both"/>
        <w:rPr>
          <w:sz w:val="22"/>
          <w:szCs w:val="22"/>
        </w:rPr>
      </w:pPr>
      <w:r>
        <w:rPr>
          <w:sz w:val="22"/>
          <w:szCs w:val="22"/>
        </w:rPr>
        <w:t>Donner régulièrement des nouvelles de l’élevage.</w:t>
      </w:r>
    </w:p>
    <w:p>
      <w:pPr>
        <w:pStyle w:val="normal1"/>
        <w:numPr>
          <w:ilvl w:val="0"/>
          <w:numId w:val="1"/>
        </w:numPr>
        <w:tabs>
          <w:tab w:val="clear" w:pos="720"/>
          <w:tab w:val="left" w:pos="2160" w:leader="none"/>
        </w:tabs>
        <w:ind w:hanging="360" w:left="360"/>
        <w:jc w:val="both"/>
        <w:rPr>
          <w:sz w:val="22"/>
          <w:szCs w:val="22"/>
        </w:rPr>
      </w:pPr>
      <w:r>
        <w:rPr>
          <w:sz w:val="22"/>
          <w:szCs w:val="22"/>
        </w:rPr>
        <w:t>Accueillir les adhérents sur la ferme au moins une fois pendant la période d’engagement.</w:t>
      </w:r>
    </w:p>
    <w:p>
      <w:pPr>
        <w:pStyle w:val="normal1"/>
        <w:numPr>
          <w:ilvl w:val="0"/>
          <w:numId w:val="1"/>
        </w:numPr>
        <w:tabs>
          <w:tab w:val="clear" w:pos="720"/>
          <w:tab w:val="left" w:pos="2160" w:leader="none"/>
        </w:tabs>
        <w:ind w:hanging="360" w:left="360"/>
        <w:jc w:val="both"/>
        <w:rPr>
          <w:sz w:val="22"/>
          <w:szCs w:val="22"/>
        </w:rPr>
      </w:pPr>
      <w:r>
        <w:rPr>
          <w:sz w:val="22"/>
          <w:szCs w:val="22"/>
        </w:rPr>
        <w:t>Être transparent sur le mode de fixation du prix et des méthodes de travail.</w:t>
      </w:r>
    </w:p>
    <w:p>
      <w:pPr>
        <w:pStyle w:val="normal1"/>
        <w:numPr>
          <w:ilvl w:val="0"/>
          <w:numId w:val="1"/>
        </w:numPr>
        <w:tabs>
          <w:tab w:val="clear" w:pos="720"/>
          <w:tab w:val="left" w:pos="2160" w:leader="none"/>
        </w:tabs>
        <w:ind w:hanging="360" w:left="360"/>
        <w:jc w:val="both"/>
        <w:rPr>
          <w:sz w:val="22"/>
          <w:szCs w:val="22"/>
        </w:rPr>
      </w:pPr>
      <w:r>
        <w:rPr>
          <w:sz w:val="22"/>
          <w:szCs w:val="22"/>
        </w:rPr>
        <w:t xml:space="preserve">A chaque changement de bande (vers 18 mois ou plus), les poules sont envoyées dans un abattoir certifié bio. </w:t>
      </w:r>
    </w:p>
    <w:p>
      <w:pPr>
        <w:pStyle w:val="normal1"/>
        <w:jc w:val="both"/>
        <w:rPr>
          <w:sz w:val="18"/>
          <w:szCs w:val="18"/>
        </w:rPr>
      </w:pPr>
      <w:r>
        <w:rPr>
          <w:sz w:val="18"/>
          <w:szCs w:val="18"/>
        </w:rPr>
      </w:r>
    </w:p>
    <w:p>
      <w:pPr>
        <w:pStyle w:val="normal1"/>
        <w:jc w:val="both"/>
        <w:rPr>
          <w:b/>
          <w:sz w:val="22"/>
          <w:szCs w:val="22"/>
          <w:u w:val="single"/>
        </w:rPr>
      </w:pPr>
      <w:r>
        <w:rPr>
          <w:b/>
          <w:sz w:val="22"/>
          <w:szCs w:val="22"/>
          <w:u w:val="single"/>
        </w:rPr>
        <w:t>Engagements communs :</w:t>
      </w:r>
    </w:p>
    <w:p>
      <w:pPr>
        <w:pStyle w:val="normal1"/>
        <w:jc w:val="both"/>
        <w:rPr>
          <w:sz w:val="22"/>
          <w:szCs w:val="22"/>
        </w:rPr>
      </w:pPr>
      <w:r>
        <w:rPr>
          <w:sz w:val="22"/>
          <w:szCs w:val="22"/>
        </w:rPr>
        <w:t>Les partenaires s'engagent à partager les risques et bénéfices naturels liés à l'activité agricole (aléas climatiques, maladie des animaux, ravageurs, etc.) et à faire part au collectif des soucis rencontrés.</w:t>
      </w:r>
    </w:p>
    <w:p>
      <w:pPr>
        <w:pStyle w:val="normal1"/>
        <w:jc w:val="both"/>
        <w:rPr>
          <w:sz w:val="18"/>
          <w:szCs w:val="18"/>
        </w:rPr>
      </w:pPr>
      <w:r>
        <w:rPr>
          <w:sz w:val="18"/>
          <w:szCs w:val="18"/>
        </w:rPr>
      </w:r>
    </w:p>
    <w:p>
      <w:pPr>
        <w:pStyle w:val="normal1"/>
        <w:jc w:val="both"/>
        <w:rPr>
          <w:sz w:val="22"/>
          <w:szCs w:val="22"/>
        </w:rPr>
      </w:pPr>
      <w:r>
        <w:rPr>
          <w:b/>
          <w:sz w:val="22"/>
          <w:szCs w:val="22"/>
        </w:rPr>
        <w:t>Planning des distributions :</w:t>
      </w:r>
      <w:r>
        <w:rPr>
          <w:sz w:val="22"/>
          <w:szCs w:val="22"/>
        </w:rPr>
        <w:t xml:space="preserve">  Toutes les semaines .</w:t>
      </w:r>
    </w:p>
    <w:p>
      <w:pPr>
        <w:pStyle w:val="normal1"/>
        <w:jc w:val="both"/>
        <w:rPr>
          <w:b/>
          <w:sz w:val="18"/>
          <w:szCs w:val="18"/>
        </w:rPr>
      </w:pPr>
      <w:r>
        <w:rPr>
          <w:b/>
          <w:sz w:val="18"/>
          <w:szCs w:val="18"/>
        </w:rPr>
      </w:r>
    </w:p>
    <w:p>
      <w:pPr>
        <w:pStyle w:val="normal1"/>
        <w:jc w:val="both"/>
        <w:rPr>
          <w:b/>
          <w:sz w:val="22"/>
          <w:szCs w:val="22"/>
        </w:rPr>
      </w:pPr>
      <w:r>
        <w:rPr>
          <w:b/>
          <w:sz w:val="22"/>
          <w:szCs w:val="22"/>
        </w:rPr>
        <w:t xml:space="preserve">Prix de la part de production d’œufs : </w:t>
      </w:r>
      <w:r>
        <w:rPr>
          <w:sz w:val="22"/>
          <w:szCs w:val="22"/>
        </w:rPr>
        <w:t>3,30 € la part d’œufs.</w:t>
      </w:r>
    </w:p>
    <w:p>
      <w:pPr>
        <w:pStyle w:val="normal1"/>
        <w:jc w:val="both"/>
        <w:rPr>
          <w:sz w:val="18"/>
          <w:szCs w:val="18"/>
        </w:rPr>
      </w:pPr>
      <w:r>
        <w:rPr>
          <w:sz w:val="18"/>
          <w:szCs w:val="18"/>
        </w:rPr>
      </w:r>
    </w:p>
    <w:p>
      <w:pPr>
        <w:pStyle w:val="normal1"/>
        <w:jc w:val="both"/>
        <w:rPr>
          <w:sz w:val="22"/>
          <w:szCs w:val="22"/>
        </w:rPr>
      </w:pPr>
      <w:r>
        <w:rPr>
          <w:sz w:val="22"/>
          <w:szCs w:val="22"/>
          <w:u w:val="single"/>
        </w:rPr>
        <w:t>A noter</w:t>
      </w:r>
      <w:r>
        <w:rPr>
          <w:sz w:val="22"/>
          <w:szCs w:val="22"/>
        </w:rPr>
        <w:t xml:space="preserve">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œufs par panier pendant 6 mois puis 6 œufs par panier pendant les 6 mois suivants et enfin 5 œufs par panier les 6 derniers mois. </w:t>
      </w:r>
      <w:r>
        <w:rPr>
          <w:b/>
          <w:sz w:val="22"/>
          <w:szCs w:val="22"/>
        </w:rPr>
        <w:t>Cela permet d’avoir 6 œufs en moyenne</w:t>
      </w:r>
      <w:r>
        <w:rPr>
          <w:sz w:val="22"/>
          <w:szCs w:val="22"/>
        </w:rPr>
        <w:t xml:space="preserve"> </w:t>
      </w:r>
      <w:r>
        <w:rPr>
          <w:b/>
          <w:sz w:val="22"/>
          <w:szCs w:val="22"/>
        </w:rPr>
        <w:t>sur la durée de vie de la poule</w:t>
      </w:r>
      <w:r>
        <w:rPr>
          <w:sz w:val="22"/>
          <w:szCs w:val="22"/>
        </w:rPr>
        <w:t>, avec plus d’œufs en démarrage d’un nouvel élevage (en général 7 œufs) et moins d’œufs en fin de carrière des poules avant changement de bandes (en général 5 œufs).</w:t>
      </w:r>
    </w:p>
    <w:p>
      <w:pPr>
        <w:pStyle w:val="normal1"/>
        <w:jc w:val="both"/>
        <w:rPr>
          <w:sz w:val="22"/>
          <w:szCs w:val="22"/>
        </w:rPr>
      </w:pPr>
      <w:r>
        <w:rPr>
          <w:sz w:val="22"/>
          <w:szCs w:val="22"/>
        </w:rPr>
        <w:t>Le début du contrat ne coïncide pas avec la date d’arrivée des poules sur la ferme puisque le contrat est de 12 mois alors que les poules restent au minimum 18 mois sur la ferme. Il se peut donc que la part d’oeuf au début du contrat soit de 7, 6 ou 5 œufs suivant la date d’arrivée des poules sur la ferme.</w:t>
      </w:r>
    </w:p>
    <w:p>
      <w:pPr>
        <w:pStyle w:val="normal1"/>
        <w:jc w:val="both"/>
        <w:rPr>
          <w:sz w:val="18"/>
          <w:szCs w:val="18"/>
        </w:rPr>
      </w:pPr>
      <w:r>
        <w:rPr>
          <w:sz w:val="18"/>
          <w:szCs w:val="18"/>
        </w:rPr>
      </w:r>
    </w:p>
    <w:p>
      <w:pPr>
        <w:pStyle w:val="normal1"/>
        <w:jc w:val="center"/>
        <w:rPr>
          <w:b/>
          <w:sz w:val="28"/>
          <w:szCs w:val="28"/>
          <w:u w:val="single"/>
        </w:rPr>
      </w:pPr>
      <w:r>
        <w:rPr>
          <w:b/>
          <w:sz w:val="28"/>
          <w:szCs w:val="28"/>
          <w:u w:val="single"/>
        </w:rPr>
        <w:t>PARRAINAGE DE POULES</w:t>
      </w:r>
    </w:p>
    <w:p>
      <w:pPr>
        <w:pStyle w:val="normal1"/>
        <w:jc w:val="center"/>
        <w:rPr>
          <w:b/>
          <w:sz w:val="18"/>
          <w:szCs w:val="18"/>
        </w:rPr>
      </w:pPr>
      <w:r>
        <w:rPr>
          <w:b/>
          <w:sz w:val="18"/>
          <w:szCs w:val="18"/>
        </w:rPr>
      </w:r>
    </w:p>
    <w:p>
      <w:pPr>
        <w:pStyle w:val="normal1"/>
        <w:jc w:val="both"/>
        <w:rPr>
          <w:sz w:val="22"/>
          <w:szCs w:val="22"/>
          <w:shd w:fill="FDFDFD" w:val="clear"/>
        </w:rPr>
      </w:pPr>
      <w:r>
        <w:rPr>
          <w:sz w:val="22"/>
          <w:szCs w:val="22"/>
        </w:rPr>
        <w:t>Pour que les poules ne soient pas destinées à devenir un produit de consommation « jetable », Stéphane propose aux amapiens ayant souscrit un contrat « œufs » de parrainer une ou plusieurs de ses poules pondeuses. Ces poules, en fin de carrière de ponte (une carrière de 18 mois environ ou plus), leur seront remises, soit vivantes soit envoyées dans un refuge à poules selon le choix de chacun.</w:t>
      </w:r>
    </w:p>
    <w:p>
      <w:pPr>
        <w:pStyle w:val="normal1"/>
        <w:jc w:val="both"/>
        <w:rPr>
          <w:sz w:val="22"/>
          <w:szCs w:val="22"/>
          <w:shd w:fill="FDFDFD" w:val="clear"/>
        </w:rPr>
      </w:pPr>
      <w:r>
        <w:rPr>
          <w:sz w:val="22"/>
          <w:szCs w:val="22"/>
          <w:shd w:fill="FDFDFD" w:val="clear"/>
        </w:rPr>
        <w:t xml:space="preserve">Le parrainage d’une ou de poule(s) pondeuse(s) est de 16,5 € par poule. </w:t>
      </w:r>
    </w:p>
    <w:p>
      <w:pPr>
        <w:pStyle w:val="normal1"/>
        <w:jc w:val="both"/>
        <w:rPr>
          <w:sz w:val="22"/>
          <w:szCs w:val="22"/>
        </w:rPr>
      </w:pPr>
      <w:r>
        <w:rPr>
          <w:sz w:val="22"/>
          <w:szCs w:val="22"/>
          <w:shd w:fill="FDFDFD" w:val="clear"/>
        </w:rPr>
        <w:t>Le parrainage d’une poule par part est recommandé. Cependant il reste la possibilité de prendre des parts d’œufs sans parrainage, ou de souscrire plus de parrainages pour une seule part d’œufs.</w:t>
      </w:r>
    </w:p>
    <w:p>
      <w:pPr>
        <w:pStyle w:val="normal1"/>
        <w:jc w:val="both"/>
        <w:rPr>
          <w:sz w:val="22"/>
          <w:szCs w:val="22"/>
        </w:rPr>
      </w:pPr>
      <w:r>
        <w:rPr>
          <w:sz w:val="22"/>
          <w:szCs w:val="22"/>
        </w:rPr>
      </w:r>
    </w:p>
    <w:p>
      <w:pPr>
        <w:pStyle w:val="normal1"/>
        <w:rPr>
          <w:u w:val="single"/>
        </w:rPr>
      </w:pPr>
      <w:r>
        <w:rPr>
          <w:b/>
          <w:sz w:val="22"/>
          <w:szCs w:val="22"/>
          <w:u w:val="single"/>
        </w:rPr>
        <w:t>Engagements de l'adhérent :</w:t>
      </w:r>
    </w:p>
    <w:p>
      <w:pPr>
        <w:pStyle w:val="normal1"/>
        <w:numPr>
          <w:ilvl w:val="0"/>
          <w:numId w:val="2"/>
        </w:numPr>
        <w:ind w:hanging="360" w:left="360"/>
        <w:jc w:val="both"/>
        <w:rPr>
          <w:sz w:val="22"/>
          <w:szCs w:val="22"/>
        </w:rPr>
      </w:pPr>
      <w:r>
        <w:rPr>
          <w:sz w:val="22"/>
          <w:szCs w:val="22"/>
        </w:rPr>
        <w:t>Payer en début de production le /les parrainage(s) pour lesquels il s’engage.</w:t>
      </w:r>
    </w:p>
    <w:p>
      <w:pPr>
        <w:pStyle w:val="normal1"/>
        <w:numPr>
          <w:ilvl w:val="0"/>
          <w:numId w:val="2"/>
        </w:numPr>
        <w:ind w:hanging="360" w:left="360"/>
        <w:jc w:val="both"/>
        <w:rPr>
          <w:sz w:val="22"/>
          <w:szCs w:val="22"/>
        </w:rPr>
      </w:pPr>
      <w:r>
        <w:rPr>
          <w:sz w:val="22"/>
          <w:szCs w:val="22"/>
        </w:rPr>
        <w:t>Dire explicitement, lors des changements de bandes de poules, s’il désire la poule vivante. A défaut, la poule est envoyée à l’abattoir.</w:t>
      </w:r>
    </w:p>
    <w:p>
      <w:pPr>
        <w:pStyle w:val="normal1"/>
        <w:numPr>
          <w:ilvl w:val="0"/>
          <w:numId w:val="2"/>
        </w:numPr>
        <w:ind w:hanging="360" w:left="360"/>
        <w:jc w:val="both"/>
        <w:rPr>
          <w:sz w:val="22"/>
          <w:szCs w:val="22"/>
        </w:rPr>
      </w:pPr>
      <w:r>
        <w:rPr>
          <w:sz w:val="22"/>
          <w:szCs w:val="22"/>
        </w:rPr>
        <w:t>Venir le jour où il s’agira de récupérer les poules avec le contenant adéquat.</w:t>
      </w:r>
    </w:p>
    <w:p>
      <w:pPr>
        <w:pStyle w:val="normal1"/>
        <w:numPr>
          <w:ilvl w:val="0"/>
          <w:numId w:val="2"/>
        </w:numPr>
        <w:ind w:hanging="360" w:left="360"/>
        <w:jc w:val="both"/>
        <w:rPr>
          <w:sz w:val="22"/>
          <w:szCs w:val="22"/>
        </w:rPr>
      </w:pPr>
      <w:r>
        <w:rPr>
          <w:sz w:val="22"/>
          <w:szCs w:val="22"/>
        </w:rPr>
        <w:t>Prévenir en cas d’impossibilité de récupérer la/les poules, et céder sa/ses poules.</w:t>
      </w:r>
    </w:p>
    <w:p>
      <w:pPr>
        <w:pStyle w:val="normal1"/>
        <w:jc w:val="both"/>
        <w:rPr>
          <w:sz w:val="22"/>
          <w:szCs w:val="22"/>
        </w:rPr>
      </w:pPr>
      <w:r>
        <w:rPr>
          <w:sz w:val="22"/>
          <w:szCs w:val="22"/>
        </w:rPr>
      </w:r>
    </w:p>
    <w:p>
      <w:pPr>
        <w:pStyle w:val="normal1"/>
        <w:jc w:val="both"/>
        <w:rPr>
          <w:u w:val="single"/>
        </w:rPr>
      </w:pPr>
      <w:r>
        <w:rPr>
          <w:b/>
          <w:sz w:val="22"/>
          <w:szCs w:val="22"/>
          <w:u w:val="single"/>
        </w:rPr>
        <w:t>Engagements du producteur :</w:t>
      </w:r>
    </w:p>
    <w:p>
      <w:pPr>
        <w:pStyle w:val="normal1"/>
        <w:numPr>
          <w:ilvl w:val="0"/>
          <w:numId w:val="2"/>
        </w:numPr>
        <w:ind w:hanging="360" w:left="360"/>
        <w:jc w:val="both"/>
        <w:rPr/>
      </w:pPr>
      <w:r>
        <w:rPr>
          <w:sz w:val="22"/>
          <w:szCs w:val="22"/>
        </w:rPr>
        <w:t>Prévenir en amont du changement de bandes pour que les parrains puissent préciser s’ils désirent les poules vivantes.</w:t>
      </w:r>
    </w:p>
    <w:p>
      <w:pPr>
        <w:pStyle w:val="normal1"/>
        <w:jc w:val="both"/>
        <w:rPr>
          <w:b/>
          <w:sz w:val="22"/>
          <w:szCs w:val="22"/>
        </w:rPr>
      </w:pPr>
      <w:r>
        <w:rPr>
          <w:b/>
          <w:sz w:val="22"/>
          <w:szCs w:val="22"/>
        </w:rPr>
      </w:r>
    </w:p>
    <w:p>
      <w:pPr>
        <w:pStyle w:val="normal1"/>
        <w:jc w:val="both"/>
        <w:rPr>
          <w:u w:val="single"/>
        </w:rPr>
      </w:pPr>
      <w:r>
        <w:rPr>
          <w:b/>
          <w:sz w:val="22"/>
          <w:szCs w:val="22"/>
          <w:u w:val="single"/>
        </w:rPr>
        <w:t xml:space="preserve">Distributions des poules : </w:t>
      </w:r>
    </w:p>
    <w:p>
      <w:pPr>
        <w:pStyle w:val="normal1"/>
        <w:jc w:val="both"/>
        <w:rPr>
          <w:b/>
          <w:sz w:val="22"/>
          <w:szCs w:val="22"/>
        </w:rPr>
      </w:pPr>
      <w:r>
        <w:rPr>
          <w:sz w:val="22"/>
          <w:szCs w:val="22"/>
        </w:rPr>
        <w:t xml:space="preserve">La date sera soumise le mois précédent le changement de bandes de poules afin que chacun puisse s’organiser. Celle-ci aura lieu environ tous les 18 mois ou plus (cela dépend de la qualité des poules pondeuses).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NOUVEAUTÉ : RILLETTES DE POULES BIO</w:t>
      </w:r>
    </w:p>
    <w:p>
      <w:pPr>
        <w:pStyle w:val="normal1"/>
        <w:jc w:val="both"/>
        <w:rPr>
          <w:b/>
          <w:sz w:val="22"/>
          <w:szCs w:val="22"/>
        </w:rPr>
      </w:pPr>
      <w:r>
        <w:rPr>
          <w:b/>
          <w:sz w:val="22"/>
          <w:szCs w:val="22"/>
        </w:rPr>
      </w:r>
    </w:p>
    <w:p>
      <w:pPr>
        <w:pStyle w:val="normal1"/>
        <w:jc w:val="both"/>
        <w:rPr>
          <w:b/>
          <w:sz w:val="22"/>
          <w:szCs w:val="22"/>
        </w:rPr>
      </w:pPr>
      <w:r>
        <w:rPr>
          <w:b/>
          <w:sz w:val="22"/>
          <w:szCs w:val="22"/>
        </w:rPr>
        <w:t xml:space="preserve">Contrat rillettes de poules bio </w:t>
      </w:r>
    </w:p>
    <w:p>
      <w:pPr>
        <w:pStyle w:val="normal1"/>
        <w:jc w:val="both"/>
        <w:rPr>
          <w:sz w:val="22"/>
          <w:szCs w:val="22"/>
        </w:rPr>
      </w:pPr>
      <w:r>
        <w:rPr>
          <w:sz w:val="22"/>
          <w:szCs w:val="22"/>
        </w:rPr>
        <w:t>Les rillettes seront livrées 4 fois par an (1 fois par trimestre) : 1 lot est donc constitué de 4 pots par an.</w:t>
      </w:r>
    </w:p>
    <w:p>
      <w:pPr>
        <w:pStyle w:val="normal1"/>
        <w:jc w:val="both"/>
        <w:rPr>
          <w:sz w:val="22"/>
          <w:szCs w:val="22"/>
        </w:rPr>
      </w:pPr>
      <w:r>
        <w:rPr>
          <w:sz w:val="22"/>
          <w:szCs w:val="22"/>
        </w:rPr>
        <w:t xml:space="preserve">Le pot de 180g est au prix de 6€90.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TARIFS ET MODALITÉS – Souscription annuelle</w:t>
      </w:r>
    </w:p>
    <w:p>
      <w:pPr>
        <w:pStyle w:val="normal1"/>
        <w:jc w:val="both"/>
        <w:rPr>
          <w:b/>
          <w:sz w:val="22"/>
          <w:szCs w:val="22"/>
        </w:rPr>
      </w:pPr>
      <w:r>
        <w:rPr>
          <w:b/>
          <w:sz w:val="22"/>
          <w:szCs w:val="22"/>
        </w:rPr>
      </w:r>
    </w:p>
    <w:tbl>
      <w:tblPr>
        <w:tblStyle w:val="Table2"/>
        <w:tblW w:w="11466" w:type="dxa"/>
        <w:jc w:val="left"/>
        <w:tblInd w:w="0" w:type="dxa"/>
        <w:tblLayout w:type="fixed"/>
        <w:tblCellMar>
          <w:top w:w="0" w:type="dxa"/>
          <w:left w:w="108" w:type="dxa"/>
          <w:bottom w:w="0" w:type="dxa"/>
          <w:right w:w="108" w:type="dxa"/>
        </w:tblCellMar>
        <w:tblLook w:val="0400"/>
      </w:tblPr>
      <w:tblGrid>
        <w:gridCol w:w="3822"/>
        <w:gridCol w:w="3822"/>
        <w:gridCol w:w="3822"/>
      </w:tblGrid>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PARTS D’ŒUFS BIO</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PARRAINAGE POULES</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RILLETTES DE POULES BIO</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sz w:val="22"/>
                <w:szCs w:val="22"/>
              </w:rPr>
            </w:pPr>
            <w:r>
              <w:rPr>
                <w:sz w:val="22"/>
                <w:szCs w:val="22"/>
              </w:rPr>
              <w:t xml:space="preserve">Distribution – </w:t>
            </w:r>
            <w:r>
              <w:rPr>
                <w:sz w:val="22"/>
                <w:szCs w:val="22"/>
              </w:rPr>
              <w:t>Chaque</w:t>
            </w:r>
            <w:r>
              <w:rPr>
                <w:sz w:val="22"/>
                <w:szCs w:val="22"/>
              </w:rPr>
              <w:t xml:space="preserve"> semaine</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sz w:val="22"/>
                <w:szCs w:val="22"/>
              </w:rPr>
            </w:pPr>
            <w:r>
              <w:rPr>
                <w:sz w:val="22"/>
                <w:szCs w:val="22"/>
              </w:rPr>
              <w:t>Parrainage annuel</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sz w:val="22"/>
                <w:szCs w:val="22"/>
              </w:rPr>
            </w:pPr>
            <w:r>
              <w:rPr>
                <w:sz w:val="22"/>
                <w:szCs w:val="22"/>
              </w:rPr>
              <w:t>Distribution – ¼ de lot par trimestre</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1 part d’œufs :         132€</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1 poule :      16€50</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1 lot de 4 pots :       27€60</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2 parts d’œufs :    264€</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2 poules :    33€00</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2 lots de 4 pots :     55€20</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3 parts d’œufs :    396€</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3 poules :    49€50</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3 lots de 4 pots :     82€80</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4 parts d’œufs :    528€</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4 poules :    66€00</w:t>
            </w:r>
          </w:p>
        </w:tc>
        <w:tc>
          <w:tcPr>
            <w:tcW w:w="3822" w:type="dxa"/>
            <w:tcBorders>
              <w:top w:val="single" w:sz="4" w:space="0" w:color="000000"/>
              <w:left w:val="single" w:sz="4" w:space="0" w:color="000000"/>
              <w:bottom w:val="single" w:sz="4" w:space="0" w:color="000000"/>
              <w:right w:val="single" w:sz="4" w:space="0" w:color="000000"/>
            </w:tcBorders>
          </w:tcPr>
          <w:p>
            <w:pPr>
              <w:pStyle w:val="normal1"/>
              <w:jc w:val="center"/>
              <w:rPr>
                <w:b/>
                <w:sz w:val="22"/>
                <w:szCs w:val="22"/>
              </w:rPr>
            </w:pPr>
            <w:r>
              <w:rPr>
                <w:b/>
                <w:sz w:val="22"/>
                <w:szCs w:val="22"/>
              </w:rPr>
              <w:t>4 lots de 4 pots :   110€40</w:t>
            </w:r>
          </w:p>
        </w:tc>
      </w:tr>
    </w:tbl>
    <w:p>
      <w:pPr>
        <w:pStyle w:val="normal1"/>
        <w:jc w:val="both"/>
        <w:rPr>
          <w:sz w:val="22"/>
          <w:szCs w:val="22"/>
        </w:rPr>
      </w:pPr>
      <w:r>
        <w:rPr>
          <w:sz w:val="22"/>
          <w:szCs w:val="22"/>
        </w:rPr>
      </w:r>
    </w:p>
    <w:p>
      <w:pPr>
        <w:pStyle w:val="normal1"/>
        <w:spacing w:lineRule="auto" w:line="240" w:before="0" w:after="120"/>
        <w:jc w:val="both"/>
        <w:rPr>
          <w:b/>
          <w:color w:val="000000"/>
        </w:rPr>
      </w:pPr>
      <w:r>
        <w:rPr>
          <w:b/>
          <w:color w:val="000000"/>
        </w:rPr>
        <w:t>REMPLISSEZ SELON VOTRE CHOIX :</w:t>
      </w:r>
    </w:p>
    <w:tbl>
      <w:tblPr>
        <w:tblStyle w:val="Table3"/>
        <w:tblW w:w="11466" w:type="dxa"/>
        <w:jc w:val="left"/>
        <w:tblInd w:w="0" w:type="dxa"/>
        <w:tblLayout w:type="fixed"/>
        <w:tblCellMar>
          <w:top w:w="0" w:type="dxa"/>
          <w:left w:w="108" w:type="dxa"/>
          <w:bottom w:w="0" w:type="dxa"/>
          <w:right w:w="108" w:type="dxa"/>
        </w:tblCellMar>
        <w:tblLook w:val="0400"/>
      </w:tblPr>
      <w:tblGrid>
        <w:gridCol w:w="3822"/>
        <w:gridCol w:w="3822"/>
        <w:gridCol w:w="3822"/>
      </w:tblGrid>
      <w:tr>
        <w:trPr/>
        <w:tc>
          <w:tcPr>
            <w:tcW w:w="3822" w:type="dxa"/>
            <w:tcBorders>
              <w:top w:val="single" w:sz="4" w:space="0" w:color="000000"/>
              <w:left w:val="single" w:sz="4" w:space="0" w:color="000000"/>
              <w:bottom w:val="single" w:sz="4" w:space="0" w:color="000000"/>
              <w:right w:val="single" w:sz="4" w:space="0" w:color="000000"/>
            </w:tcBorders>
          </w:tcPr>
          <w:p>
            <w:pPr>
              <w:pStyle w:val="normal1"/>
              <w:widowControl w:val="false"/>
              <w:rPr>
                <w:b/>
                <w:u w:val="single"/>
              </w:rPr>
            </w:pPr>
            <w:r>
              <w:rPr>
                <w:b/>
                <w:u w:val="single"/>
              </w:rPr>
              <w:t>Nombre de parts d’œufs :</w:t>
            </w:r>
          </w:p>
          <w:p>
            <w:pPr>
              <w:pStyle w:val="normal1"/>
              <w:spacing w:lineRule="auto" w:line="240" w:before="0" w:after="120"/>
              <w:jc w:val="both"/>
              <w:rPr>
                <w:b/>
                <w:color w:val="000000"/>
                <w:u w:val="single"/>
              </w:rPr>
            </w:pPr>
            <w:r>
              <w:rPr>
                <w:b/>
                <w:color w:val="000000"/>
                <w:u w:val="single"/>
              </w:rPr>
            </w:r>
          </w:p>
          <w:p>
            <w:pPr>
              <w:pStyle w:val="normal1"/>
              <w:spacing w:lineRule="auto" w:line="240" w:before="0" w:after="120"/>
              <w:jc w:val="both"/>
              <w:rPr>
                <w:b/>
                <w:color w:val="000000"/>
                <w:u w:val="single"/>
              </w:rPr>
            </w:pPr>
            <w:r>
              <w:rPr>
                <w:b/>
                <w:color w:val="000000"/>
                <w:u w:val="single"/>
              </w:rPr>
            </w:r>
          </w:p>
        </w:tc>
        <w:tc>
          <w:tcPr>
            <w:tcW w:w="3822"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20"/>
              <w:jc w:val="both"/>
              <w:rPr>
                <w:b/>
                <w:color w:val="000000"/>
                <w:u w:val="single"/>
              </w:rPr>
            </w:pPr>
            <w:r>
              <w:rPr>
                <w:b/>
                <w:u w:val="single"/>
              </w:rPr>
              <w:t>Nombre de parrainages :</w:t>
            </w:r>
          </w:p>
        </w:tc>
        <w:tc>
          <w:tcPr>
            <w:tcW w:w="3822"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20"/>
              <w:jc w:val="both"/>
              <w:rPr>
                <w:b/>
                <w:color w:val="000000"/>
                <w:u w:val="single"/>
              </w:rPr>
            </w:pPr>
            <w:r>
              <w:rPr>
                <w:b/>
                <w:color w:val="000000"/>
                <w:u w:val="single"/>
              </w:rPr>
              <w:t>Nombre de lots de rillettes :</w:t>
            </w:r>
          </w:p>
        </w:tc>
      </w:tr>
      <w:tr>
        <w:trPr/>
        <w:tc>
          <w:tcPr>
            <w:tcW w:w="3822" w:type="dxa"/>
            <w:tcBorders>
              <w:top w:val="single" w:sz="4" w:space="0" w:color="000000"/>
              <w:left w:val="single" w:sz="4" w:space="0" w:color="000000"/>
              <w:bottom w:val="single" w:sz="4" w:space="0" w:color="000000"/>
              <w:right w:val="single" w:sz="4" w:space="0" w:color="000000"/>
            </w:tcBorders>
          </w:tcPr>
          <w:p>
            <w:pPr>
              <w:pStyle w:val="normal1"/>
              <w:widowControl w:val="false"/>
              <w:rPr>
                <w:b/>
              </w:rPr>
            </w:pPr>
            <w:r>
              <w:rPr>
                <w:b/>
              </w:rPr>
              <w:t>Montant chèque 1 :</w:t>
            </w:r>
          </w:p>
          <w:p>
            <w:pPr>
              <w:pStyle w:val="normal1"/>
              <w:widowControl w:val="false"/>
              <w:rPr/>
            </w:pPr>
            <w:r>
              <w:rPr/>
              <w:t>(Encaissement janvier 25)</w:t>
            </w:r>
          </w:p>
          <w:p>
            <w:pPr>
              <w:pStyle w:val="normal1"/>
              <w:widowControl w:val="false"/>
              <w:rPr>
                <w:b/>
              </w:rPr>
            </w:pPr>
            <w:r>
              <w:rPr>
                <w:b/>
              </w:rPr>
            </w:r>
          </w:p>
          <w:p>
            <w:pPr>
              <w:pStyle w:val="normal1"/>
              <w:widowControl w:val="false"/>
              <w:rPr>
                <w:b/>
              </w:rPr>
            </w:pPr>
            <w:r>
              <w:rPr>
                <w:b/>
              </w:rPr>
            </w:r>
          </w:p>
          <w:p>
            <w:pPr>
              <w:pStyle w:val="normal1"/>
              <w:widowControl w:val="false"/>
              <w:rPr>
                <w:b/>
              </w:rPr>
            </w:pPr>
            <w:r>
              <w:rPr>
                <w:b/>
              </w:rPr>
              <w:t>Montant chèque 2 (optionnel) :</w:t>
            </w:r>
          </w:p>
          <w:p>
            <w:pPr>
              <w:pStyle w:val="normal1"/>
              <w:widowControl w:val="false"/>
              <w:rPr/>
            </w:pPr>
            <w:r>
              <w:rPr/>
              <w:t>(Encaissement juin 25)</w:t>
            </w:r>
          </w:p>
          <w:p>
            <w:pPr>
              <w:pStyle w:val="normal1"/>
              <w:widowControl w:val="false"/>
              <w:rPr>
                <w:b/>
              </w:rPr>
            </w:pPr>
            <w:r>
              <w:rPr>
                <w:b/>
              </w:rPr>
            </w:r>
          </w:p>
        </w:tc>
        <w:tc>
          <w:tcPr>
            <w:tcW w:w="3822" w:type="dxa"/>
            <w:tcBorders>
              <w:top w:val="single" w:sz="4" w:space="0" w:color="000000"/>
              <w:left w:val="single" w:sz="4" w:space="0" w:color="000000"/>
              <w:bottom w:val="single" w:sz="4" w:space="0" w:color="000000"/>
              <w:right w:val="single" w:sz="4" w:space="0" w:color="000000"/>
            </w:tcBorders>
          </w:tcPr>
          <w:p>
            <w:pPr>
              <w:pStyle w:val="normal1"/>
              <w:widowControl w:val="false"/>
              <w:rPr>
                <w:b/>
              </w:rPr>
            </w:pPr>
            <w:r>
              <w:rPr>
                <w:b/>
              </w:rPr>
              <w:t>Montant chèque :</w:t>
            </w:r>
          </w:p>
          <w:p>
            <w:pPr>
              <w:pStyle w:val="normal1"/>
              <w:spacing w:lineRule="auto" w:line="240" w:before="0" w:after="120"/>
              <w:jc w:val="both"/>
              <w:rPr/>
            </w:pPr>
            <w:r>
              <w:rPr/>
              <w:t>(Encaissement janvier 25)</w:t>
            </w:r>
          </w:p>
        </w:tc>
        <w:tc>
          <w:tcPr>
            <w:tcW w:w="3822" w:type="dxa"/>
            <w:tcBorders>
              <w:top w:val="single" w:sz="4" w:space="0" w:color="000000"/>
              <w:left w:val="single" w:sz="4" w:space="0" w:color="000000"/>
              <w:bottom w:val="single" w:sz="4" w:space="0" w:color="000000"/>
              <w:right w:val="single" w:sz="4" w:space="0" w:color="000000"/>
            </w:tcBorders>
          </w:tcPr>
          <w:p>
            <w:pPr>
              <w:pStyle w:val="normal1"/>
              <w:widowControl w:val="false"/>
              <w:rPr>
                <w:b/>
              </w:rPr>
            </w:pPr>
            <w:r>
              <w:rPr>
                <w:b/>
              </w:rPr>
              <w:t>Montant chèque :</w:t>
            </w:r>
          </w:p>
          <w:p>
            <w:pPr>
              <w:pStyle w:val="normal1"/>
              <w:spacing w:lineRule="auto" w:line="240" w:before="0" w:after="120"/>
              <w:jc w:val="both"/>
              <w:rPr>
                <w:b/>
                <w:color w:val="000000"/>
              </w:rPr>
            </w:pPr>
            <w:r>
              <w:rPr/>
              <w:t>(Encaissement janvier 2025)</w:t>
            </w:r>
          </w:p>
        </w:tc>
      </w:tr>
    </w:tbl>
    <w:p>
      <w:pPr>
        <w:pStyle w:val="normal1"/>
        <w:spacing w:lineRule="auto" w:line="240" w:before="0" w:after="120"/>
        <w:jc w:val="both"/>
        <w:rPr>
          <w:b/>
          <w:color w:val="000000"/>
          <w:sz w:val="10"/>
          <w:szCs w:val="10"/>
        </w:rPr>
      </w:pPr>
      <w:r>
        <w:rPr>
          <w:b/>
          <w:color w:val="000000"/>
          <w:sz w:val="10"/>
          <w:szCs w:val="10"/>
        </w:rPr>
      </w:r>
    </w:p>
    <w:p>
      <w:pPr>
        <w:pStyle w:val="normal1"/>
        <w:spacing w:lineRule="auto" w:line="240" w:before="0" w:after="120"/>
        <w:jc w:val="both"/>
        <w:rPr>
          <w:i/>
          <w:i/>
          <w:color w:val="000000"/>
        </w:rPr>
      </w:pPr>
      <w:r>
        <w:rPr>
          <w:i/>
          <w:color w:val="000000"/>
        </w:rPr>
        <w:t>Ce contrat sera conservé au siège de l’association. Une copie pourra être délivrée sur demande.</w:t>
      </w:r>
    </w:p>
    <w:p>
      <w:pPr>
        <w:pStyle w:val="normal1"/>
        <w:jc w:val="both"/>
        <w:rPr>
          <w:i/>
          <w:i/>
          <w:color w:val="000000"/>
          <w:sz w:val="11"/>
          <w:szCs w:val="11"/>
        </w:rPr>
      </w:pPr>
      <w:r>
        <w:rPr>
          <w:sz w:val="22"/>
          <w:szCs w:val="22"/>
        </w:rPr>
        <w:t xml:space="preserve">Les chèques doivent être remis au moment de la signature du présent contrat : ils seront encaissés à l’échéance indiquée. </w:t>
      </w:r>
    </w:p>
    <w:p>
      <w:pPr>
        <w:pStyle w:val="normal1"/>
        <w:spacing w:lineRule="auto" w:line="240" w:before="0" w:after="120"/>
        <w:jc w:val="both"/>
        <w:rPr>
          <w:sz w:val="10"/>
          <w:szCs w:val="10"/>
        </w:rPr>
      </w:pPr>
      <w:r>
        <w:rPr>
          <w:sz w:val="10"/>
          <w:szCs w:val="10"/>
        </w:rPr>
      </w:r>
    </w:p>
    <w:p>
      <w:pPr>
        <w:pStyle w:val="normal1"/>
        <w:spacing w:lineRule="auto" w:line="240" w:before="0" w:after="60"/>
        <w:jc w:val="both"/>
        <w:rPr>
          <w:b/>
          <w:sz w:val="22"/>
          <w:szCs w:val="22"/>
        </w:rPr>
      </w:pPr>
      <w:r>
        <w:rPr>
          <w:sz w:val="22"/>
          <w:szCs w:val="22"/>
        </w:rPr>
        <w:t>Règlement par chèque à l’ordre de « </w:t>
      </w:r>
      <w:r>
        <w:rPr>
          <w:b/>
          <w:sz w:val="22"/>
          <w:szCs w:val="22"/>
        </w:rPr>
        <w:t>Stéphane Disdet</w:t>
      </w:r>
      <w:r>
        <w:rPr>
          <w:sz w:val="22"/>
          <w:szCs w:val="22"/>
        </w:rPr>
        <w:t xml:space="preserve"> » </w:t>
      </w:r>
      <w:r>
        <w:rPr>
          <w:b/>
          <w:sz w:val="22"/>
          <w:szCs w:val="22"/>
        </w:rPr>
        <w:t>à la date du jour.</w:t>
      </w:r>
    </w:p>
    <w:p>
      <w:pPr>
        <w:pStyle w:val="normal1"/>
        <w:spacing w:lineRule="auto" w:line="240" w:before="0" w:after="60"/>
        <w:jc w:val="both"/>
        <w:rPr/>
      </w:pPr>
      <w:r>
        <w:rPr>
          <w:b/>
          <w:sz w:val="22"/>
          <w:szCs w:val="22"/>
        </w:rPr>
        <w:t xml:space="preserve">- 1 chèque pour les parts d’œufs </w:t>
      </w:r>
      <w:r>
        <w:rPr>
          <w:sz w:val="22"/>
          <w:szCs w:val="22"/>
        </w:rPr>
        <w:t>(possibilité de payer en 2 chèques</w:t>
      </w:r>
      <w:r>
        <w:rPr>
          <w:b/>
          <w:sz w:val="22"/>
          <w:szCs w:val="22"/>
        </w:rPr>
        <w:t xml:space="preserve"> </w:t>
      </w:r>
      <w:r>
        <w:rPr>
          <w:sz w:val="22"/>
          <w:szCs w:val="22"/>
        </w:rPr>
        <w:t>– diviser le montant par 2 pour chaque chèque)</w:t>
      </w:r>
    </w:p>
    <w:p>
      <w:pPr>
        <w:pStyle w:val="normal1"/>
        <w:spacing w:lineRule="auto" w:line="240" w:before="0" w:after="60"/>
        <w:jc w:val="both"/>
        <w:rPr>
          <w:b/>
          <w:sz w:val="22"/>
          <w:szCs w:val="22"/>
        </w:rPr>
      </w:pPr>
      <w:r>
        <w:rPr>
          <w:b/>
          <w:sz w:val="22"/>
          <w:szCs w:val="22"/>
        </w:rPr>
        <w:t>- Un chèque séparé pour le parrainage des poules </w:t>
      </w:r>
    </w:p>
    <w:p>
      <w:pPr>
        <w:pStyle w:val="normal1"/>
        <w:spacing w:lineRule="auto" w:line="240" w:before="0" w:after="60"/>
        <w:jc w:val="both"/>
        <w:rPr>
          <w:b/>
          <w:sz w:val="22"/>
          <w:szCs w:val="22"/>
        </w:rPr>
      </w:pPr>
      <w:r>
        <w:rPr>
          <w:b/>
          <w:sz w:val="22"/>
          <w:szCs w:val="22"/>
        </w:rPr>
        <w:t>- Un autre chèque séparé pour les rillettes de poules</w:t>
      </w:r>
    </w:p>
    <w:p>
      <w:pPr>
        <w:pStyle w:val="normal1"/>
        <w:jc w:val="both"/>
        <w:rPr>
          <w:sz w:val="22"/>
          <w:szCs w:val="22"/>
        </w:rPr>
      </w:pPr>
      <w:r>
        <w:rPr>
          <w:sz w:val="22"/>
          <w:szCs w:val="22"/>
        </w:rPr>
      </w:r>
    </w:p>
    <w:p>
      <w:pPr>
        <w:pStyle w:val="normal1"/>
        <w:tabs>
          <w:tab w:val="clear" w:pos="720"/>
          <w:tab w:val="left" w:pos="5103" w:leader="none"/>
        </w:tabs>
        <w:rPr>
          <w:sz w:val="22"/>
          <w:szCs w:val="22"/>
        </w:rPr>
      </w:pPr>
      <w:r>
        <w:rPr>
          <w:b/>
          <w:sz w:val="22"/>
          <w:szCs w:val="22"/>
        </w:rPr>
        <w:t>Nom et prénom de l’adhérent</w:t>
      </w:r>
      <w:r>
        <w:rPr>
          <w:sz w:val="22"/>
          <w:szCs w:val="22"/>
        </w:rPr>
        <w:t> </w:t>
      </w:r>
      <w:r>
        <w:rPr>
          <w:b/>
          <w:sz w:val="22"/>
          <w:szCs w:val="22"/>
        </w:rPr>
        <w:t>:</w:t>
      </w:r>
      <w:r>
        <w:rPr>
          <w:sz w:val="22"/>
          <w:szCs w:val="22"/>
        </w:rPr>
        <w:tab/>
        <w:tab/>
      </w:r>
      <w:r>
        <w:rPr>
          <w:b/>
          <w:sz w:val="22"/>
          <w:szCs w:val="22"/>
        </w:rPr>
        <w:t>Nom du producteur :</w:t>
      </w:r>
      <w:r>
        <w:rPr>
          <w:sz w:val="22"/>
          <w:szCs w:val="22"/>
        </w:rPr>
        <w:t xml:space="preserve"> Stéphane Disdet</w:t>
      </w:r>
    </w:p>
    <w:p>
      <w:pPr>
        <w:pStyle w:val="normal1"/>
        <w:rPr>
          <w:sz w:val="22"/>
          <w:szCs w:val="22"/>
        </w:rPr>
      </w:pPr>
      <w:r>
        <w:drawing>
          <wp:anchor behindDoc="0" distT="0" distB="0" distL="0" distR="0" simplePos="0" locked="0" layoutInCell="1" allowOverlap="1" relativeHeight="2">
            <wp:simplePos x="0" y="0"/>
            <wp:positionH relativeFrom="column">
              <wp:posOffset>5031740</wp:posOffset>
            </wp:positionH>
            <wp:positionV relativeFrom="paragraph">
              <wp:posOffset>93980</wp:posOffset>
            </wp:positionV>
            <wp:extent cx="1047750" cy="5334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1047750" cy="533400"/>
                    </a:xfrm>
                    <a:prstGeom prst="rect">
                      <a:avLst/>
                    </a:prstGeom>
                    <a:noFill/>
                  </pic:spPr>
                </pic:pic>
              </a:graphicData>
            </a:graphic>
          </wp:anchor>
        </w:drawing>
      </w:r>
      <w:r>
        <w:rPr>
          <w:sz w:val="22"/>
          <w:szCs w:val="22"/>
        </w:rPr>
        <w:t>Signature (précédée de la mention « Lu et approuvé ») :</w:t>
        <w:tab/>
        <w:tab/>
        <w:t>Signature :</w:t>
      </w:r>
    </w:p>
    <w:p>
      <w:pPr>
        <w:pStyle w:val="normal1"/>
        <w:rPr>
          <w:rFonts w:ascii="Arial" w:hAnsi="Arial" w:eastAsia="Arial" w:cs="Arial"/>
          <w:b/>
          <w:sz w:val="24"/>
          <w:szCs w:val="24"/>
        </w:rPr>
      </w:pPr>
      <w:r>
        <w:rPr>
          <w:rFonts w:eastAsia="Arial" w:cs="Arial" w:ascii="Arial" w:hAnsi="Arial"/>
          <w:b/>
          <w:sz w:val="24"/>
          <w:szCs w:val="24"/>
        </w:rPr>
      </w:r>
    </w:p>
    <w:sectPr>
      <w:type w:val="nextPage"/>
      <w:pgSz w:w="12240" w:h="15840"/>
      <w:pgMar w:left="425" w:right="339" w:gutter="0" w:header="0" w:top="141" w:footer="0" w:bottom="39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2">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mbria" w:hAnsi="Cambria" w:eastAsia="Cambria" w:cs="Cambria"/>
      <w:color w:val="auto"/>
      <w:kern w:val="0"/>
      <w:sz w:val="20"/>
      <w:szCs w:val="20"/>
      <w:lang w:val="fr-FR" w:eastAsia="zh-CN" w:bidi="hi-IN"/>
    </w:rPr>
  </w:style>
  <w:style w:type="paragraph" w:styleId="Heading1">
    <w:name w:val="heading 1"/>
    <w:basedOn w:val="normal1"/>
    <w:next w:val="normal1"/>
    <w:qFormat/>
    <w:pPr>
      <w:spacing w:lineRule="auto" w:line="240" w:before="480" w:after="0"/>
    </w:pPr>
    <w:rPr>
      <w:b/>
      <w:color w:val="345A8A"/>
      <w:sz w:val="32"/>
      <w:szCs w:val="32"/>
    </w:rPr>
  </w:style>
  <w:style w:type="paragraph" w:styleId="Heading2">
    <w:name w:val="heading 2"/>
    <w:basedOn w:val="normal1"/>
    <w:next w:val="normal1"/>
    <w:qFormat/>
    <w:pPr>
      <w:spacing w:lineRule="auto" w:line="240" w:before="200" w:after="0"/>
    </w:pPr>
    <w:rPr>
      <w:b/>
      <w:color w:val="4F81BD"/>
      <w:sz w:val="26"/>
      <w:szCs w:val="26"/>
    </w:rPr>
  </w:style>
  <w:style w:type="paragraph" w:styleId="Heading3">
    <w:name w:val="heading 3"/>
    <w:basedOn w:val="normal1"/>
    <w:next w:val="normal1"/>
    <w:qFormat/>
    <w:pPr>
      <w:spacing w:lineRule="auto" w:line="240" w:before="200" w:after="0"/>
    </w:pPr>
    <w:rPr>
      <w:b/>
      <w:color w:val="4F81BD"/>
      <w:sz w:val="24"/>
      <w:szCs w:val="24"/>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rPr>
  </w:style>
  <w:style w:type="character" w:styleId="InternetLink">
    <w:name w:val="Internet Link"/>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suppressAutoHyphens w:val="true"/>
      <w:bidi w:val="0"/>
      <w:spacing w:before="0" w:after="0"/>
      <w:jc w:val="left"/>
    </w:pPr>
    <w:rPr>
      <w:rFonts w:ascii="Cambria" w:hAnsi="Cambria" w:eastAsia="Cambria" w:cs="Cambria"/>
      <w:color w:val="auto"/>
      <w:kern w:val="0"/>
      <w:sz w:val="20"/>
      <w:szCs w:val="20"/>
      <w:lang w:val="fr-FR" w:eastAsia="zh-CN" w:bidi="hi-IN"/>
    </w:rPr>
  </w:style>
  <w:style w:type="paragraph" w:styleId="Title">
    <w:name w:val="Title"/>
    <w:basedOn w:val="normal1"/>
    <w:next w:val="normal1"/>
    <w:qFormat/>
    <w:pPr>
      <w:spacing w:lineRule="auto" w:line="240" w:before="0" w:after="300"/>
    </w:pPr>
    <w:rPr>
      <w:color w:val="17365D"/>
      <w:sz w:val="52"/>
      <w:szCs w:val="52"/>
    </w:rPr>
  </w:style>
  <w:style w:type="paragraph" w:styleId="Subtitle">
    <w:name w:val="Subtitle"/>
    <w:basedOn w:val="normal1"/>
    <w:next w:val="normal1"/>
    <w:qFormat/>
    <w:pPr/>
    <w:rPr>
      <w:i/>
      <w:color w:val="4F81BD"/>
      <w:sz w:val="24"/>
      <w:szCs w:val="24"/>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ap-idf.org/"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LibreOffice/24.8.0.3$Windows_X86_64 LibreOffice_project/0bdf1299c94fe897b119f97f3c613e9dca6be583</Application>
  <AppVersion>15.0000</AppVersion>
  <Pages>2</Pages>
  <Words>1091</Words>
  <Characters>5199</Characters>
  <CharactersWithSpaces>6257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Christophe Didion</cp:lastModifiedBy>
  <dcterms:modified xsi:type="dcterms:W3CDTF">2024-12-09T20:20:08Z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2D3791AC4E6D45EB9B8C03D2A959A666</vt:lpwstr>
  </property>
  <property fmtid="{D5CDD505-2E9C-101B-9397-08002B2CF9AE}" pid="3" name="KSOProductBuildVer">
    <vt:lpwstr>1033-12.2.0.13359</vt:lpwstr>
  </property>
</Properties>
</file>